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FF" w:rsidRDefault="00AE350A">
      <w:pPr>
        <w:spacing w:line="240" w:lineRule="auto"/>
        <w:jc w:val="center"/>
        <w:rPr>
          <w:rFonts w:ascii="Open Sans" w:eastAsia="Open Sans" w:hAnsi="Open Sans" w:cs="Open Sans"/>
          <w:b/>
          <w:color w:val="FF5E0E"/>
          <w:sz w:val="28"/>
          <w:szCs w:val="28"/>
        </w:rPr>
      </w:pPr>
      <w:r>
        <w:rPr>
          <w:rFonts w:ascii="Open Sans" w:eastAsia="Open Sans" w:hAnsi="Open Sans" w:cs="Open Sans"/>
          <w:b/>
          <w:color w:val="5420AA"/>
          <w:sz w:val="28"/>
          <w:szCs w:val="28"/>
        </w:rPr>
        <w:t>Módulo: Contraloría Social y Vigilancia Ciudadana</w:t>
      </w:r>
    </w:p>
    <w:p w:rsidR="00364AFF" w:rsidRDefault="00364AFF">
      <w:pPr>
        <w:pStyle w:val="Ttulo1"/>
        <w:widowControl w:val="0"/>
        <w:spacing w:before="0" w:after="0" w:line="240" w:lineRule="auto"/>
        <w:jc w:val="both"/>
        <w:rPr>
          <w:rFonts w:ascii="Open Sans" w:eastAsia="Open Sans" w:hAnsi="Open Sans" w:cs="Open Sans"/>
          <w:b/>
          <w:color w:val="E1595A"/>
          <w:sz w:val="24"/>
          <w:szCs w:val="24"/>
          <w:u w:val="single"/>
        </w:rPr>
      </w:pPr>
      <w:bookmarkStart w:id="0" w:name="_ji0i7u7tmcr9" w:colFirst="0" w:colLast="0"/>
      <w:bookmarkEnd w:id="0"/>
    </w:p>
    <w:p w:rsidR="00364AFF" w:rsidRDefault="00AE350A">
      <w:pPr>
        <w:pStyle w:val="Ttulo1"/>
        <w:widowControl w:val="0"/>
        <w:spacing w:before="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1" w:name="_p373z49ah2pl" w:colFirst="0" w:colLast="0"/>
      <w:bookmarkEnd w:id="1"/>
      <w:r>
        <w:rPr>
          <w:rFonts w:ascii="Open Sans" w:eastAsia="Open Sans" w:hAnsi="Open Sans" w:cs="Open Sans"/>
          <w:b/>
          <w:color w:val="E1595A"/>
          <w:sz w:val="24"/>
          <w:szCs w:val="24"/>
        </w:rPr>
        <w:t>¿En qué consiste?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widowControl w:val="0"/>
        <w:spacing w:line="240" w:lineRule="auto"/>
        <w:ind w:right="5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</w:rPr>
        <w:t xml:space="preserve">El </w:t>
      </w:r>
      <w:r>
        <w:rPr>
          <w:rFonts w:ascii="Open Sans" w:eastAsia="Open Sans" w:hAnsi="Open Sans" w:cs="Open Sans"/>
          <w:b/>
        </w:rPr>
        <w:t>Plan Nacional de Socialización del Derecho de Acceso a la Información</w:t>
      </w:r>
      <w:r>
        <w:rPr>
          <w:rFonts w:ascii="Open Sans" w:eastAsia="Open Sans" w:hAnsi="Open Sans" w:cs="Open Sans"/>
        </w:rPr>
        <w:t xml:space="preserve"> (</w:t>
      </w:r>
      <w:proofErr w:type="spellStart"/>
      <w:r>
        <w:rPr>
          <w:rFonts w:ascii="Open Sans" w:eastAsia="Open Sans" w:hAnsi="Open Sans" w:cs="Open Sans"/>
          <w:color w:val="1155CC"/>
          <w:u w:val="single"/>
        </w:rPr>
        <w:fldChar w:fldCharType="begin"/>
      </w:r>
      <w:r>
        <w:rPr>
          <w:rFonts w:ascii="Open Sans" w:eastAsia="Open Sans" w:hAnsi="Open Sans" w:cs="Open Sans"/>
          <w:color w:val="1155CC"/>
          <w:u w:val="single"/>
        </w:rPr>
        <w:instrText xml:space="preserve"> HYPERLINK "https://micrositios.inai.org.mx/plandai/" \h </w:instrText>
      </w:r>
      <w:r>
        <w:rPr>
          <w:rFonts w:ascii="Open Sans" w:eastAsia="Open Sans" w:hAnsi="Open Sans" w:cs="Open Sans"/>
          <w:color w:val="1155CC"/>
          <w:u w:val="single"/>
        </w:rPr>
        <w:fldChar w:fldCharType="separate"/>
      </w:r>
      <w:r>
        <w:rPr>
          <w:rFonts w:ascii="Open Sans" w:eastAsia="Open Sans" w:hAnsi="Open Sans" w:cs="Open Sans"/>
          <w:color w:val="1155CC"/>
          <w:u w:val="single"/>
        </w:rPr>
        <w:t>PlanDAI</w:t>
      </w:r>
      <w:proofErr w:type="spellEnd"/>
      <w:r>
        <w:rPr>
          <w:rFonts w:ascii="Open Sans" w:eastAsia="Open Sans" w:hAnsi="Open Sans" w:cs="Open Sans"/>
          <w:color w:val="1155CC"/>
          <w:u w:val="single"/>
        </w:rPr>
        <w:fldChar w:fldCharType="end"/>
      </w:r>
      <w:r>
        <w:rPr>
          <w:rFonts w:ascii="Open Sans" w:eastAsia="Open Sans" w:hAnsi="Open Sans" w:cs="Open Sans"/>
        </w:rPr>
        <w:t>) 2020, dispone de una modalidad de trabajo (adicional y optativa) denominada “</w:t>
      </w:r>
      <w:r>
        <w:rPr>
          <w:rFonts w:ascii="Open Sans" w:eastAsia="Open Sans" w:hAnsi="Open Sans" w:cs="Open Sans"/>
          <w:b/>
        </w:rPr>
        <w:t>Contraloría Social y Vigilancia Ciudadana</w:t>
      </w:r>
      <w:r>
        <w:rPr>
          <w:rFonts w:ascii="Open Sans" w:eastAsia="Open Sans" w:hAnsi="Open Sans" w:cs="Open Sans"/>
        </w:rPr>
        <w:t>”. Esta consiste, a la par del proceso de la implementación de la política pública, en desarrollar un proyecto de incidencia social rela</w:t>
      </w:r>
      <w:r>
        <w:rPr>
          <w:rFonts w:ascii="Open Sans" w:eastAsia="Open Sans" w:hAnsi="Open Sans" w:cs="Open Sans"/>
        </w:rPr>
        <w:t>cionado con el seguimiento de la ejecución de  programas gubernamentales en la entidad federativa</w:t>
      </w:r>
      <w:r>
        <w:rPr>
          <w:rFonts w:ascii="Open Sans" w:eastAsia="Open Sans" w:hAnsi="Open Sans" w:cs="Open Sans"/>
          <w:highlight w:val="white"/>
        </w:rPr>
        <w:t>.</w:t>
      </w:r>
    </w:p>
    <w:p w:rsidR="00364AFF" w:rsidRDefault="00364AFF">
      <w:pPr>
        <w:widowControl w:val="0"/>
        <w:spacing w:line="240" w:lineRule="auto"/>
        <w:ind w:right="5"/>
        <w:jc w:val="both"/>
        <w:rPr>
          <w:rFonts w:ascii="Open Sans" w:eastAsia="Open Sans" w:hAnsi="Open Sans" w:cs="Open Sans"/>
          <w:highlight w:val="white"/>
        </w:rPr>
      </w:pPr>
    </w:p>
    <w:p w:rsidR="00364AFF" w:rsidRDefault="00AE350A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Open Sans" w:eastAsia="Open Sans" w:hAnsi="Open Sans" w:cs="Open Sans"/>
          <w:b/>
          <w:color w:val="E1595A"/>
          <w:sz w:val="24"/>
          <w:szCs w:val="24"/>
        </w:rPr>
      </w:pPr>
      <w:bookmarkStart w:id="2" w:name="_3vu0bklk0fax" w:colFirst="0" w:colLast="0"/>
      <w:bookmarkEnd w:id="2"/>
      <w:r>
        <w:rPr>
          <w:rFonts w:ascii="Open Sans" w:eastAsia="Open Sans" w:hAnsi="Open Sans" w:cs="Open Sans"/>
          <w:b/>
          <w:color w:val="E1595A"/>
          <w:sz w:val="24"/>
          <w:szCs w:val="24"/>
        </w:rPr>
        <w:t>¿Cómo se desarrolla la modalidad?</w:t>
      </w:r>
    </w:p>
    <w:p w:rsidR="00364AFF" w:rsidRDefault="00364AFF">
      <w:pPr>
        <w:widowControl w:val="0"/>
        <w:spacing w:line="240" w:lineRule="auto"/>
        <w:ind w:right="5"/>
        <w:jc w:val="both"/>
        <w:rPr>
          <w:rFonts w:ascii="Open Sans" w:eastAsia="Open Sans" w:hAnsi="Open Sans" w:cs="Open Sans"/>
          <w:color w:val="212529"/>
          <w:highlight w:val="white"/>
        </w:rPr>
      </w:pPr>
    </w:p>
    <w:p w:rsidR="00364AFF" w:rsidRDefault="00AE350A">
      <w:pPr>
        <w:widowControl w:val="0"/>
        <w:spacing w:line="240" w:lineRule="auto"/>
        <w:ind w:right="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Bajo la coordinación del Organismo Garante Local (OGL</w:t>
      </w:r>
      <w:r>
        <w:rPr>
          <w:rFonts w:ascii="Open Sans" w:eastAsia="Open Sans" w:hAnsi="Open Sans" w:cs="Open Sans"/>
        </w:rPr>
        <w:t>), y con el apoyo del INAI y de la Secretaría de la Función Pública (SFP), las personas que hayan sido formadas como Personas Facilitadoras del Derecho de Acceso a la Información (DAI), y que tengan interés en desarrollar su labor a través de esta modalida</w:t>
      </w:r>
      <w:r>
        <w:rPr>
          <w:rFonts w:ascii="Open Sans" w:eastAsia="Open Sans" w:hAnsi="Open Sans" w:cs="Open Sans"/>
        </w:rPr>
        <w:t>d, deberán llevar a cabo las siguientes actividades (</w:t>
      </w:r>
      <w:r>
        <w:rPr>
          <w:rFonts w:ascii="Open Sans" w:eastAsia="Open Sans" w:hAnsi="Open Sans" w:cs="Open Sans"/>
          <w:b/>
        </w:rPr>
        <w:t>metodología</w:t>
      </w:r>
      <w:r>
        <w:rPr>
          <w:rFonts w:ascii="Open Sans" w:eastAsia="Open Sans" w:hAnsi="Open Sans" w:cs="Open Sans"/>
        </w:rPr>
        <w:t>):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1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 partir de los problemas públicos y/o comunitarios identificados, </w:t>
      </w:r>
      <w:r>
        <w:rPr>
          <w:rFonts w:ascii="Open Sans" w:eastAsia="Open Sans" w:hAnsi="Open Sans" w:cs="Open Sans"/>
          <w:b/>
        </w:rPr>
        <w:t>seleccionar un proyecto o programa</w:t>
      </w:r>
      <w:r>
        <w:rPr>
          <w:rFonts w:ascii="Open Sans" w:eastAsia="Open Sans" w:hAnsi="Open Sans" w:cs="Open Sans"/>
        </w:rPr>
        <w:t xml:space="preserve"> (preferentemente, alguno de los </w:t>
      </w:r>
      <w:hyperlink r:id="rId7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30 proyectos y programas prioritarios</w:t>
        </w:r>
      </w:hyperlink>
      <w:r>
        <w:rPr>
          <w:rFonts w:ascii="Open Sans" w:eastAsia="Open Sans" w:hAnsi="Open Sans" w:cs="Open Sans"/>
          <w:color w:val="212529"/>
          <w:highlight w:val="white"/>
        </w:rPr>
        <w:t xml:space="preserve"> del </w:t>
      </w:r>
      <w:r>
        <w:rPr>
          <w:rFonts w:ascii="Open Sans" w:eastAsia="Open Sans" w:hAnsi="Open Sans" w:cs="Open Sans"/>
          <w:highlight w:val="white"/>
        </w:rPr>
        <w:t>Gobierno de México</w:t>
      </w:r>
      <w:r>
        <w:rPr>
          <w:rFonts w:ascii="Open Sans" w:eastAsia="Open Sans" w:hAnsi="Open Sans" w:cs="Open Sans"/>
        </w:rPr>
        <w:t>) que será abordado bajo esta modalidad. Habrá que responder a las preguntas: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¿Cuál será el proyecto o programa a vigilar?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 xml:space="preserve"> 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¿Cuál es la dependencia o entidad responsable?</w:t>
      </w:r>
    </w:p>
    <w:p w:rsidR="00364AFF" w:rsidRDefault="00AE350A">
      <w:pPr>
        <w:numPr>
          <w:ilvl w:val="0"/>
          <w:numId w:val="2"/>
        </w:numP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¿Cuál es nuestro objetivo de vigilancia?</w:t>
      </w:r>
      <w:r>
        <w:rPr>
          <w:rFonts w:ascii="Open Sans" w:eastAsia="Open Sans" w:hAnsi="Open Sans" w:cs="Open Sans"/>
          <w:vertAlign w:val="superscript"/>
        </w:rPr>
        <w:footnoteReference w:id="2"/>
      </w:r>
      <w:r>
        <w:rPr>
          <w:rFonts w:ascii="Open Sans" w:eastAsia="Open Sans" w:hAnsi="Open Sans" w:cs="Open Sans"/>
        </w:rPr>
        <w:t xml:space="preserve"> ¿Qué queremos observar?</w:t>
      </w:r>
      <w:r>
        <w:rPr>
          <w:rFonts w:ascii="Open Sans" w:eastAsia="Open Sans" w:hAnsi="Open Sans" w:cs="Open Sans"/>
          <w:vertAlign w:val="superscript"/>
        </w:rPr>
        <w:footnoteReference w:id="3"/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¿Cuál será el producto derivado de la inspección?</w:t>
      </w:r>
      <w:r>
        <w:rPr>
          <w:rFonts w:ascii="Open Sans" w:eastAsia="Open Sans" w:hAnsi="Open Sans" w:cs="Open Sans"/>
          <w:vertAlign w:val="superscript"/>
        </w:rPr>
        <w:footnoteReference w:id="4"/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actores deberían participar en este proyecto?</w:t>
      </w:r>
    </w:p>
    <w:p w:rsidR="00364AFF" w:rsidRDefault="00364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Identificar las </w:t>
      </w:r>
      <w:r>
        <w:rPr>
          <w:rFonts w:ascii="Open Sans" w:eastAsia="Open Sans" w:hAnsi="Open Sans" w:cs="Open Sans"/>
          <w:b/>
        </w:rPr>
        <w:t>necesidades de información</w:t>
      </w:r>
      <w:r>
        <w:rPr>
          <w:rFonts w:ascii="Open Sans" w:eastAsia="Open Sans" w:hAnsi="Open Sans" w:cs="Open Sans"/>
        </w:rPr>
        <w:t xml:space="preserve">, que serán atendidas mediante el </w:t>
      </w:r>
      <w:r>
        <w:rPr>
          <w:rFonts w:ascii="Open Sans" w:eastAsia="Open Sans" w:hAnsi="Open Sans" w:cs="Open Sans"/>
          <w:b/>
        </w:rPr>
        <w:t xml:space="preserve">ejercicio </w:t>
      </w:r>
      <w:r>
        <w:rPr>
          <w:rFonts w:ascii="Open Sans" w:eastAsia="Open Sans" w:hAnsi="Open Sans" w:cs="Open Sans"/>
          <w:b/>
        </w:rPr>
        <w:t>del DAI</w:t>
      </w:r>
      <w:r>
        <w:rPr>
          <w:rFonts w:ascii="Open Sans" w:eastAsia="Open Sans" w:hAnsi="Open Sans" w:cs="Open Sans"/>
          <w:vertAlign w:val="superscript"/>
        </w:rPr>
        <w:footnoteReference w:id="5"/>
      </w:r>
      <w:r>
        <w:rPr>
          <w:rFonts w:ascii="Open Sans" w:eastAsia="Open Sans" w:hAnsi="Open Sans" w:cs="Open Sans"/>
        </w:rPr>
        <w:t>. Dar seguimiento hasta obtener la información con la mayor calidad posible. Responder a las preguntas:</w:t>
      </w:r>
    </w:p>
    <w:p w:rsidR="00364AFF" w:rsidRDefault="00364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información se necesita para conocer el proyecto o programa, así como el desempeño de las autoridades? ¿En qué formatos?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mecanismos permitirán obtenerla? ¿En cuánto tiempo?</w:t>
      </w:r>
    </w:p>
    <w:p w:rsidR="00364AFF" w:rsidRDefault="00364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1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Una vez obtenida y analizada la información, y en la expectativa de atender el objetivo de la vigilancia, </w:t>
      </w:r>
      <w:r>
        <w:rPr>
          <w:rFonts w:ascii="Open Sans" w:eastAsia="Open Sans" w:hAnsi="Open Sans" w:cs="Open Sans"/>
          <w:b/>
        </w:rPr>
        <w:t>activar mecanismos adicionales</w:t>
      </w:r>
      <w:r>
        <w:rPr>
          <w:rFonts w:ascii="Open Sans" w:eastAsia="Open Sans" w:hAnsi="Open Sans" w:cs="Open Sans"/>
        </w:rPr>
        <w:t xml:space="preserve"> en función del mismo. Ejemplo, derecho de petición u otros</w:t>
      </w:r>
      <w:r>
        <w:rPr>
          <w:rFonts w:ascii="Open Sans" w:eastAsia="Open Sans" w:hAnsi="Open Sans" w:cs="Open Sans"/>
          <w:vertAlign w:val="superscript"/>
        </w:rPr>
        <w:footnoteReference w:id="6"/>
      </w:r>
      <w:r>
        <w:rPr>
          <w:rFonts w:ascii="Open Sans" w:eastAsia="Open Sans" w:hAnsi="Open Sans" w:cs="Open Sans"/>
        </w:rPr>
        <w:t>.</w:t>
      </w:r>
    </w:p>
    <w:p w:rsidR="00364AFF" w:rsidRDefault="00364AFF">
      <w:pPr>
        <w:spacing w:line="240" w:lineRule="auto"/>
        <w:ind w:left="1440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¿Cómo utilizaremos la información pública en este proceso?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mecanismo se utilizará para lograr el objetivo?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</w:t>
      </w:r>
      <w:proofErr w:type="spellStart"/>
      <w:r>
        <w:rPr>
          <w:rFonts w:ascii="Open Sans" w:eastAsia="Open Sans" w:hAnsi="Open Sans" w:cs="Open Sans"/>
        </w:rPr>
        <w:t>Cuando</w:t>
      </w:r>
      <w:proofErr w:type="spellEnd"/>
      <w:r>
        <w:rPr>
          <w:rFonts w:ascii="Open Sans" w:eastAsia="Open Sans" w:hAnsi="Open Sans" w:cs="Open Sans"/>
        </w:rPr>
        <w:t xml:space="preserve"> habremos logrado el objetivo planteado?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1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Documentar y resguardar</w:t>
      </w:r>
      <w:r>
        <w:rPr>
          <w:rFonts w:ascii="Open Sans" w:eastAsia="Open Sans" w:hAnsi="Open Sans" w:cs="Open Sans"/>
        </w:rPr>
        <w:t xml:space="preserve"> el soporte documental del proceso. Ello, con el propósito de comunicar</w:t>
      </w:r>
      <w:r>
        <w:rPr>
          <w:rFonts w:ascii="Open Sans" w:eastAsia="Open Sans" w:hAnsi="Open Sans" w:cs="Open Sans"/>
        </w:rPr>
        <w:t xml:space="preserve"> y dar visibilidad al proyecto de incidencia.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herramientas se utilizarán para la documentación?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evidencias generará el proyecto?</w:t>
      </w:r>
    </w:p>
    <w:p w:rsidR="00364AFF" w:rsidRDefault="00AE3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¿Qué visibilidad le daremos al proyecto de incidencia?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Open Sans" w:eastAsia="Open Sans" w:hAnsi="Open Sans" w:cs="Open Sans"/>
          <w:b/>
          <w:color w:val="E1595A"/>
          <w:sz w:val="24"/>
          <w:szCs w:val="24"/>
        </w:rPr>
      </w:pPr>
      <w:bookmarkStart w:id="3" w:name="_vrk7o7oiyvsv" w:colFirst="0" w:colLast="0"/>
      <w:bookmarkEnd w:id="3"/>
      <w:r>
        <w:rPr>
          <w:rFonts w:ascii="Open Sans" w:eastAsia="Open Sans" w:hAnsi="Open Sans" w:cs="Open Sans"/>
          <w:b/>
          <w:color w:val="E1595A"/>
          <w:sz w:val="24"/>
          <w:szCs w:val="24"/>
        </w:rPr>
        <w:t>¿Cuáles son los tiempos previstos?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Al tratarse de una modalidad que forma parte del </w:t>
      </w:r>
      <w:proofErr w:type="spellStart"/>
      <w:r>
        <w:rPr>
          <w:rFonts w:ascii="Open Sans" w:eastAsia="Open Sans" w:hAnsi="Open Sans" w:cs="Open Sans"/>
        </w:rPr>
        <w:t>PlanDAI</w:t>
      </w:r>
      <w:proofErr w:type="spellEnd"/>
      <w:r>
        <w:rPr>
          <w:rFonts w:ascii="Open Sans" w:eastAsia="Open Sans" w:hAnsi="Open Sans" w:cs="Open Sans"/>
        </w:rPr>
        <w:t>, se buscará que los tiempos sean idealmente los mismos establecidos por la política pública: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  <w:b/>
        </w:rPr>
      </w:pPr>
    </w:p>
    <w:tbl>
      <w:tblPr>
        <w:tblStyle w:val="a"/>
        <w:tblW w:w="900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0"/>
        <w:gridCol w:w="858"/>
        <w:gridCol w:w="871"/>
        <w:gridCol w:w="872"/>
        <w:gridCol w:w="886"/>
        <w:gridCol w:w="872"/>
        <w:gridCol w:w="872"/>
        <w:gridCol w:w="872"/>
        <w:gridCol w:w="872"/>
      </w:tblGrid>
      <w:tr w:rsidR="00364AFF">
        <w:trPr>
          <w:trHeight w:val="660"/>
        </w:trPr>
        <w:tc>
          <w:tcPr>
            <w:tcW w:w="2029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Actividad</w:t>
            </w:r>
          </w:p>
        </w:tc>
        <w:tc>
          <w:tcPr>
            <w:tcW w:w="858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Junio</w:t>
            </w:r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Julio</w:t>
            </w:r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Ago</w:t>
            </w:r>
            <w:proofErr w:type="spellEnd"/>
          </w:p>
        </w:tc>
        <w:tc>
          <w:tcPr>
            <w:tcW w:w="885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</w:rPr>
              <w:t>Sep</w:t>
            </w:r>
            <w:proofErr w:type="spellEnd"/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Oct</w:t>
            </w:r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Nov</w:t>
            </w:r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Dic</w:t>
            </w:r>
          </w:p>
        </w:tc>
        <w:tc>
          <w:tcPr>
            <w:tcW w:w="871" w:type="dxa"/>
            <w:shd w:val="clear" w:color="auto" w:fill="5F497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Ene</w:t>
            </w:r>
          </w:p>
        </w:tc>
      </w:tr>
      <w:tr w:rsidR="00364AFF">
        <w:trPr>
          <w:trHeight w:val="150"/>
        </w:trPr>
        <w:tc>
          <w:tcPr>
            <w:tcW w:w="2029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Formación Personas Facilitadoras del DAI</w:t>
            </w:r>
          </w:p>
        </w:tc>
        <w:tc>
          <w:tcPr>
            <w:tcW w:w="858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85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64AFF">
        <w:trPr>
          <w:trHeight w:val="180"/>
        </w:trPr>
        <w:tc>
          <w:tcPr>
            <w:tcW w:w="2029" w:type="dxa"/>
            <w:shd w:val="clear" w:color="auto" w:fill="9900FF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Socialización del DAI (definición proyecto)</w:t>
            </w:r>
          </w:p>
        </w:tc>
        <w:tc>
          <w:tcPr>
            <w:tcW w:w="858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85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79646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79646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79646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79646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79646"/>
              </w:rPr>
            </w:pPr>
          </w:p>
        </w:tc>
      </w:tr>
      <w:tr w:rsidR="00364AFF">
        <w:trPr>
          <w:trHeight w:val="285"/>
        </w:trPr>
        <w:tc>
          <w:tcPr>
            <w:tcW w:w="2029" w:type="dxa"/>
            <w:shd w:val="clear" w:color="auto" w:fill="9900FF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Documentación (seguimiento proyecto)</w:t>
            </w:r>
          </w:p>
        </w:tc>
        <w:tc>
          <w:tcPr>
            <w:tcW w:w="858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85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64AFF">
        <w:trPr>
          <w:trHeight w:val="675"/>
        </w:trPr>
        <w:tc>
          <w:tcPr>
            <w:tcW w:w="2029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Comunicación</w:t>
            </w:r>
          </w:p>
        </w:tc>
        <w:tc>
          <w:tcPr>
            <w:tcW w:w="858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85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364AFF">
        <w:trPr>
          <w:trHeight w:val="660"/>
        </w:trPr>
        <w:tc>
          <w:tcPr>
            <w:tcW w:w="2029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AE350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lastRenderedPageBreak/>
              <w:t>Informe Final</w:t>
            </w:r>
          </w:p>
        </w:tc>
        <w:tc>
          <w:tcPr>
            <w:tcW w:w="858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85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871" w:type="dxa"/>
            <w:shd w:val="clear" w:color="auto" w:fill="CCC1D9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:rsidR="00364AFF" w:rsidRDefault="00364AF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Open Sans" w:eastAsia="Open Sans" w:hAnsi="Open Sans" w:cs="Open Sans"/>
          <w:b/>
          <w:color w:val="E1595A"/>
          <w:sz w:val="24"/>
          <w:szCs w:val="24"/>
        </w:rPr>
      </w:pPr>
      <w:bookmarkStart w:id="4" w:name="_2ilr179gudyu" w:colFirst="0" w:colLast="0"/>
      <w:bookmarkEnd w:id="4"/>
      <w:r>
        <w:rPr>
          <w:rFonts w:ascii="Open Sans" w:eastAsia="Open Sans" w:hAnsi="Open Sans" w:cs="Open Sans"/>
          <w:b/>
          <w:color w:val="E1595A"/>
          <w:sz w:val="24"/>
          <w:szCs w:val="24"/>
        </w:rPr>
        <w:t>¿A quién contactar para desarrollar mi proyecto de incidencia?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  <w:b/>
        </w:rPr>
      </w:pPr>
    </w:p>
    <w:p w:rsidR="00364AFF" w:rsidRDefault="00AE350A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 desarrollo del proyecto de incidencia estará bajo la coordinación del OGL. Y en todo momento, se contará con el apoyo de la SFP y del INAI. En caso de tener alguna duda, específicamente podrás contactar a:</w:t>
      </w:r>
    </w:p>
    <w:p w:rsidR="00364AFF" w:rsidRDefault="00364AFF">
      <w:pPr>
        <w:spacing w:line="240" w:lineRule="auto"/>
        <w:jc w:val="both"/>
        <w:rPr>
          <w:rFonts w:ascii="Open Sans" w:eastAsia="Open Sans" w:hAnsi="Open Sans" w:cs="Open Sans"/>
        </w:rPr>
      </w:pPr>
    </w:p>
    <w:p w:rsidR="00364AFF" w:rsidRDefault="00AE350A">
      <w:pPr>
        <w:numPr>
          <w:ilvl w:val="0"/>
          <w:numId w:val="3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OGL: Responsable del </w:t>
      </w:r>
      <w:proofErr w:type="spellStart"/>
      <w:r>
        <w:rPr>
          <w:rFonts w:ascii="Open Sans" w:eastAsia="Open Sans" w:hAnsi="Open Sans" w:cs="Open Sans"/>
        </w:rPr>
        <w:t>PlanDAI</w:t>
      </w:r>
      <w:proofErr w:type="spellEnd"/>
      <w:r>
        <w:rPr>
          <w:rFonts w:ascii="Open Sans" w:eastAsia="Open Sans" w:hAnsi="Open Sans" w:cs="Open Sans"/>
        </w:rPr>
        <w:t xml:space="preserve"> en la entidad fed</w:t>
      </w:r>
      <w:r>
        <w:rPr>
          <w:rFonts w:ascii="Open Sans" w:eastAsia="Open Sans" w:hAnsi="Open Sans" w:cs="Open Sans"/>
        </w:rPr>
        <w:t>erativa.</w:t>
      </w:r>
    </w:p>
    <w:p w:rsidR="00364AFF" w:rsidRDefault="00AE350A">
      <w:pPr>
        <w:numPr>
          <w:ilvl w:val="0"/>
          <w:numId w:val="3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SFP: Isabel Orta (</w:t>
      </w:r>
      <w:hyperlink r:id="rId8">
        <w:r>
          <w:rPr>
            <w:rFonts w:ascii="Open Sans" w:eastAsia="Open Sans" w:hAnsi="Open Sans" w:cs="Open Sans"/>
            <w:color w:val="1155CC"/>
            <w:u w:val="single"/>
          </w:rPr>
          <w:t>isabelo@funcionpublica.gob.mx</w:t>
        </w:r>
      </w:hyperlink>
      <w:r>
        <w:rPr>
          <w:rFonts w:ascii="Open Sans" w:eastAsia="Open Sans" w:hAnsi="Open Sans" w:cs="Open Sans"/>
        </w:rPr>
        <w:t>)</w:t>
      </w:r>
    </w:p>
    <w:p w:rsidR="00364AFF" w:rsidRDefault="00AE350A">
      <w:pPr>
        <w:numPr>
          <w:ilvl w:val="0"/>
          <w:numId w:val="3"/>
        </w:num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INAI: </w:t>
      </w:r>
      <w:r w:rsidR="004E74C6">
        <w:rPr>
          <w:rFonts w:ascii="Open Sans" w:eastAsia="Open Sans" w:hAnsi="Open Sans" w:cs="Open Sans"/>
        </w:rPr>
        <w:t xml:space="preserve">Enlace </w:t>
      </w:r>
      <w:bookmarkStart w:id="5" w:name="_GoBack"/>
      <w:bookmarkEnd w:id="5"/>
      <w:r w:rsidR="004E74C6">
        <w:rPr>
          <w:rFonts w:ascii="Open Sans" w:eastAsia="Open Sans" w:hAnsi="Open Sans" w:cs="Open Sans"/>
        </w:rPr>
        <w:t xml:space="preserve">del </w:t>
      </w:r>
      <w:proofErr w:type="spellStart"/>
      <w:r w:rsidR="004E74C6">
        <w:rPr>
          <w:rFonts w:ascii="Open Sans" w:eastAsia="Open Sans" w:hAnsi="Open Sans" w:cs="Open Sans"/>
        </w:rPr>
        <w:t>PlanDAI</w:t>
      </w:r>
      <w:proofErr w:type="spellEnd"/>
      <w:r w:rsidR="004E74C6">
        <w:rPr>
          <w:rFonts w:ascii="Open Sans" w:eastAsia="Open Sans" w:hAnsi="Open Sans" w:cs="Open Sans"/>
        </w:rPr>
        <w:t xml:space="preserve"> en la entidad federativa.</w:t>
      </w:r>
    </w:p>
    <w:sectPr w:rsidR="00364AF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0A" w:rsidRDefault="00AE350A">
      <w:pPr>
        <w:spacing w:line="240" w:lineRule="auto"/>
      </w:pPr>
      <w:r>
        <w:separator/>
      </w:r>
    </w:p>
  </w:endnote>
  <w:endnote w:type="continuationSeparator" w:id="0">
    <w:p w:rsidR="00AE350A" w:rsidRDefault="00AE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0A" w:rsidRDefault="00AE350A">
      <w:pPr>
        <w:spacing w:line="240" w:lineRule="auto"/>
      </w:pPr>
      <w:r>
        <w:separator/>
      </w:r>
    </w:p>
  </w:footnote>
  <w:footnote w:type="continuationSeparator" w:id="0">
    <w:p w:rsidR="00AE350A" w:rsidRDefault="00AE350A">
      <w:pPr>
        <w:spacing w:line="240" w:lineRule="auto"/>
      </w:pPr>
      <w:r>
        <w:continuationSeparator/>
      </w:r>
    </w:p>
  </w:footnote>
  <w:footnote w:id="1">
    <w:p w:rsidR="00364AFF" w:rsidRDefault="00AE350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Plantear el nombre, y d</w:t>
      </w:r>
      <w:r>
        <w:rPr>
          <w:rFonts w:ascii="Calibri" w:eastAsia="Calibri" w:hAnsi="Calibri" w:cs="Calibri"/>
          <w:sz w:val="20"/>
          <w:szCs w:val="20"/>
        </w:rPr>
        <w:t>efinir el tipo de proyecto o programa: obra, servicio, subsidio, otro.</w:t>
      </w:r>
    </w:p>
  </w:footnote>
  <w:footnote w:id="2">
    <w:p w:rsidR="00364AFF" w:rsidRDefault="00AE350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Inicialmente se plantean tres rutas, no limitativas: 1) generación de insumos para la evaluación del proyecto o programa, y su uso personal, 2) generación de insumos para la evaluación del proyecto o</w:t>
      </w:r>
      <w:r>
        <w:rPr>
          <w:rFonts w:ascii="Calibri" w:eastAsia="Calibri" w:hAnsi="Calibri" w:cs="Calibri"/>
          <w:sz w:val="20"/>
          <w:szCs w:val="20"/>
        </w:rPr>
        <w:t xml:space="preserve"> programa, y su difusión o distribución entre beneficiarios u otros actores, 3) generación de insumos para la evaluación del proyecto o programa, y la promoción de rendición de cuentas o la identificación de hechos de corrupción.</w:t>
      </w:r>
    </w:p>
  </w:footnote>
  <w:footnote w:id="3">
    <w:p w:rsidR="00364AFF" w:rsidRDefault="00AE350A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 el caso de proyectos que involucren contratos, se pueden utilizar las etapas y variables de la iniciativa “contrataciones abiertas” (p</w:t>
      </w:r>
      <w:r>
        <w:rPr>
          <w:rFonts w:ascii="Calibri" w:eastAsia="Calibri" w:hAnsi="Calibri" w:cs="Calibri"/>
          <w:sz w:val="20"/>
          <w:szCs w:val="20"/>
        </w:rPr>
        <w:t>laneación, licitación, adjudicación, contrato, implementación, ejecución física). Para el caso de programas de desarrollo social, se puede vigilar: procesos de entrega de recursos, cumplimiento de criterios de población objetivo; que no se usen con fines p</w:t>
      </w:r>
      <w:r>
        <w:rPr>
          <w:rFonts w:ascii="Calibri" w:eastAsia="Calibri" w:hAnsi="Calibri" w:cs="Calibri"/>
          <w:sz w:val="20"/>
          <w:szCs w:val="20"/>
        </w:rPr>
        <w:t>olíticos, electorales u otros; cumplimiento de metas y objetivos; obligaciones de transparencia; trazabilidad del gasto público; desempeño de funcionarias/os públicos responsables del programa; entre otros aspectos que se definan.</w:t>
      </w:r>
    </w:p>
  </w:footnote>
  <w:footnote w:id="4">
    <w:p w:rsidR="00364AFF" w:rsidRDefault="00AE350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 proyecto de incidenci</w:t>
      </w:r>
      <w:r>
        <w:rPr>
          <w:rFonts w:ascii="Calibri" w:eastAsia="Calibri" w:hAnsi="Calibri" w:cs="Calibri"/>
          <w:sz w:val="20"/>
          <w:szCs w:val="20"/>
        </w:rPr>
        <w:t>a comprende el desarrollo de estos pasos. Una vez generado el producto esperado (documento con hallazgos, conclusiones y recomendaciones -en su caso, que anexe quejas y denuncias que serán canalizadas a unidades responsables), se presentará a través de med</w:t>
      </w:r>
      <w:r>
        <w:rPr>
          <w:rFonts w:ascii="Calibri" w:eastAsia="Calibri" w:hAnsi="Calibri" w:cs="Calibri"/>
          <w:sz w:val="20"/>
          <w:szCs w:val="20"/>
        </w:rPr>
        <w:t>ios de comunicación institucionales.</w:t>
      </w:r>
    </w:p>
  </w:footnote>
  <w:footnote w:id="5">
    <w:p w:rsidR="00364AFF" w:rsidRDefault="00AE350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Algunos mecanismos: Revisar obligaciones de transparencia, ingresar solicitudes de información, buscar información que derive de políticas de trans</w:t>
      </w:r>
      <w:r>
        <w:rPr>
          <w:rFonts w:ascii="Calibri" w:eastAsia="Calibri" w:hAnsi="Calibri" w:cs="Calibri"/>
          <w:sz w:val="20"/>
          <w:szCs w:val="20"/>
        </w:rPr>
        <w:t>parencia proactiva, u otro medio que resulte adecuado.</w:t>
      </w:r>
    </w:p>
  </w:footnote>
  <w:footnote w:id="6">
    <w:p w:rsidR="00364AFF" w:rsidRDefault="00AE350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Presentación de escrito de petición, presentación de queja, denuncia, solicitud de auditoría, entre otros.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F" w:rsidRDefault="00AE350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-915824</wp:posOffset>
          </wp:positionH>
          <wp:positionV relativeFrom="paragraph">
            <wp:posOffset>-457199</wp:posOffset>
          </wp:positionV>
          <wp:extent cx="7559040" cy="6096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252"/>
                  <a:stretch>
                    <a:fillRect/>
                  </a:stretch>
                </pic:blipFill>
                <pic:spPr>
                  <a:xfrm>
                    <a:off x="0" y="0"/>
                    <a:ext cx="75590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1E7"/>
    <w:multiLevelType w:val="multilevel"/>
    <w:tmpl w:val="AEC09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65F1D"/>
    <w:multiLevelType w:val="multilevel"/>
    <w:tmpl w:val="33B07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4A094C"/>
    <w:multiLevelType w:val="multilevel"/>
    <w:tmpl w:val="CEC26C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FF"/>
    <w:rsid w:val="00364AFF"/>
    <w:rsid w:val="004E74C6"/>
    <w:rsid w:val="00AE350A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3D38-916B-472C-92B9-77BD387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o@funcionpublic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.mx/proyectosyprogramaspriorit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 BerenICE</cp:lastModifiedBy>
  <cp:revision>2</cp:revision>
  <dcterms:created xsi:type="dcterms:W3CDTF">2020-10-02T14:55:00Z</dcterms:created>
  <dcterms:modified xsi:type="dcterms:W3CDTF">2020-10-02T15:30:00Z</dcterms:modified>
</cp:coreProperties>
</file>