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60336" w14:textId="0EEBF115" w:rsidR="00BD58AF" w:rsidRDefault="003633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Propuesta de </w:t>
      </w:r>
      <w:r w:rsidR="005B1BB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royecto de </w:t>
      </w:r>
      <w:r w:rsidR="005B1BB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ocialización del Derecho de Acceso a la Información</w:t>
      </w:r>
    </w:p>
    <w:p w14:paraId="06D5F61A" w14:textId="77777777" w:rsidR="00BD58AF" w:rsidRDefault="003633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PlanDAI 2021 - 2022</w:t>
      </w:r>
    </w:p>
    <w:p w14:paraId="594F01DC" w14:textId="77777777" w:rsidR="00BD58AF" w:rsidRDefault="00BD5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"/>
        <w:tblW w:w="8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1558"/>
        <w:gridCol w:w="566"/>
        <w:gridCol w:w="1418"/>
        <w:gridCol w:w="1418"/>
        <w:gridCol w:w="1412"/>
      </w:tblGrid>
      <w:tr w:rsidR="00BD58AF" w14:paraId="7B5D0C34" w14:textId="77777777">
        <w:trPr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47073A86" w14:textId="0301D6CB" w:rsidR="00BD58AF" w:rsidRDefault="0036334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 xml:space="preserve">Organismo </w:t>
            </w:r>
            <w:r w:rsidR="005B1BBE">
              <w:rPr>
                <w:b/>
                <w:color w:val="FFFFFF"/>
              </w:rPr>
              <w:t>g</w:t>
            </w:r>
            <w:r>
              <w:rPr>
                <w:b/>
                <w:color w:val="FFFFFF"/>
              </w:rPr>
              <w:t>arante que presenta el proyecto</w:t>
            </w:r>
          </w:p>
        </w:tc>
      </w:tr>
      <w:tr w:rsidR="00BD58AF" w14:paraId="0A5FAD66" w14:textId="77777777">
        <w:trPr>
          <w:trHeight w:val="308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3BAA2BD0" w14:textId="77777777" w:rsidR="00BD58AF" w:rsidRDefault="00BD58A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D58AF" w14:paraId="74274F9F" w14:textId="77777777">
        <w:trPr>
          <w:trHeight w:val="308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138BC593" w14:textId="1B0B7934" w:rsidR="00BD58AF" w:rsidRDefault="003633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  <w:r w:rsidR="005B1BBE">
              <w:rPr>
                <w:b/>
                <w:color w:val="FFFFFF"/>
              </w:rPr>
              <w:t>(</w:t>
            </w:r>
            <w:r>
              <w:rPr>
                <w:b/>
                <w:color w:val="FFFFFF"/>
              </w:rPr>
              <w:t>s</w:t>
            </w:r>
            <w:r w:rsidR="005B1BBE">
              <w:rPr>
                <w:b/>
                <w:color w:val="FFFFFF"/>
              </w:rPr>
              <w:t>)</w:t>
            </w:r>
            <w:r>
              <w:rPr>
                <w:b/>
                <w:color w:val="FFFFFF"/>
              </w:rPr>
              <w:t xml:space="preserve"> del PlanDAI </w:t>
            </w:r>
          </w:p>
        </w:tc>
      </w:tr>
      <w:tr w:rsidR="00BD58AF" w14:paraId="3342C8F1" w14:textId="77777777">
        <w:trPr>
          <w:trHeight w:val="158"/>
          <w:jc w:val="center"/>
        </w:trPr>
        <w:tc>
          <w:tcPr>
            <w:tcW w:w="2123" w:type="dxa"/>
            <w:vMerge w:val="restart"/>
            <w:shd w:val="clear" w:color="auto" w:fill="auto"/>
            <w:vAlign w:val="center"/>
          </w:tcPr>
          <w:p w14:paraId="232681F2" w14:textId="77777777" w:rsidR="00BD58AF" w:rsidRDefault="00363343">
            <w:pPr>
              <w:spacing w:after="0" w:line="240" w:lineRule="auto"/>
              <w:jc w:val="center"/>
            </w:pPr>
            <w:r>
              <w:t>Enlace responsable operativo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753EC12" w14:textId="77777777" w:rsidR="00BD58AF" w:rsidRDefault="00363343"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9942923" w14:textId="77777777" w:rsidR="00BD58AF" w:rsidRDefault="00363343">
            <w:pPr>
              <w:spacing w:after="0" w:line="240" w:lineRule="auto"/>
              <w:jc w:val="center"/>
            </w:pPr>
            <w:r>
              <w:t>Cargo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AD8D8" w14:textId="77777777" w:rsidR="00BD58AF" w:rsidRDefault="00363343">
            <w:pPr>
              <w:spacing w:after="0" w:line="240" w:lineRule="auto"/>
              <w:jc w:val="center"/>
            </w:pPr>
            <w:r>
              <w:t>Teléfono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95D81A1" w14:textId="77777777" w:rsidR="00BD58AF" w:rsidRDefault="00363343">
            <w:pPr>
              <w:spacing w:after="0" w:line="240" w:lineRule="auto"/>
              <w:jc w:val="center"/>
            </w:pPr>
            <w:r>
              <w:t>Correo electrónico</w:t>
            </w:r>
          </w:p>
        </w:tc>
      </w:tr>
      <w:tr w:rsidR="00BD58AF" w14:paraId="7B6511A9" w14:textId="77777777">
        <w:trPr>
          <w:trHeight w:val="157"/>
          <w:jc w:val="center"/>
        </w:trPr>
        <w:tc>
          <w:tcPr>
            <w:tcW w:w="2123" w:type="dxa"/>
            <w:vMerge/>
            <w:shd w:val="clear" w:color="auto" w:fill="auto"/>
            <w:vAlign w:val="center"/>
          </w:tcPr>
          <w:p w14:paraId="24239C05" w14:textId="77777777" w:rsidR="00BD58AF" w:rsidRDefault="00BD5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52536D3" w14:textId="77777777" w:rsidR="00BD58AF" w:rsidRDefault="00BD58AF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FB4E94E" w14:textId="77777777" w:rsidR="00BD58AF" w:rsidRDefault="00BD58AF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675F6D" w14:textId="77777777" w:rsidR="00BD58AF" w:rsidRDefault="00BD58AF">
            <w:pPr>
              <w:spacing w:after="0" w:line="240" w:lineRule="auto"/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AC4CFCF" w14:textId="77777777" w:rsidR="00BD58AF" w:rsidRDefault="00BD58AF">
            <w:pPr>
              <w:spacing w:after="0" w:line="240" w:lineRule="auto"/>
            </w:pPr>
          </w:p>
        </w:tc>
      </w:tr>
      <w:tr w:rsidR="00BD58AF" w14:paraId="56970759" w14:textId="77777777">
        <w:trPr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6F637BF3" w14:textId="77777777" w:rsidR="00BD58AF" w:rsidRDefault="003633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 general del PlanDAI en la entidad federativa</w:t>
            </w:r>
          </w:p>
        </w:tc>
      </w:tr>
      <w:tr w:rsidR="00BD58AF" w14:paraId="0B7F23C8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7B01B4B9" w14:textId="77777777" w:rsidR="00BD58AF" w:rsidRDefault="00BD58A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D58AF" w14:paraId="51115205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278C6BD3" w14:textId="77777777" w:rsidR="00BD58AF" w:rsidRDefault="00363343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Objetivos específicos del PlanDAI en la entidad federativa</w:t>
            </w:r>
          </w:p>
        </w:tc>
      </w:tr>
      <w:tr w:rsidR="00BD58AF" w14:paraId="14F812CA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208477E3" w14:textId="77777777" w:rsidR="00BD58AF" w:rsidRDefault="00BD58A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D58AF" w14:paraId="649304A0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0BF58243" w14:textId="77777777" w:rsidR="00BD58AF" w:rsidRDefault="003633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Población objetivo</w:t>
            </w:r>
          </w:p>
        </w:tc>
      </w:tr>
      <w:tr w:rsidR="00BD58AF" w14:paraId="71262846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7725687B" w14:textId="77777777" w:rsidR="00BD58AF" w:rsidRDefault="00BD58A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D58AF" w14:paraId="46159380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5FE3ED5B" w14:textId="771374C4" w:rsidR="00BD58AF" w:rsidRDefault="00363343">
            <w:pPr>
              <w:spacing w:after="0" w:line="240" w:lineRule="auto"/>
              <w:jc w:val="center"/>
              <w:rPr>
                <w:color w:val="404040"/>
              </w:rPr>
            </w:pPr>
            <w:r>
              <w:rPr>
                <w:b/>
                <w:color w:val="FFFFFF"/>
              </w:rPr>
              <w:t>Ubicación de la población objetivo (</w:t>
            </w:r>
            <w:r w:rsidR="005B1BBE">
              <w:rPr>
                <w:b/>
                <w:color w:val="FFFFFF"/>
              </w:rPr>
              <w:t>m</w:t>
            </w:r>
            <w:r>
              <w:rPr>
                <w:b/>
                <w:color w:val="FFFFFF"/>
              </w:rPr>
              <w:t>unicipios)</w:t>
            </w:r>
          </w:p>
        </w:tc>
      </w:tr>
      <w:tr w:rsidR="00BD58AF" w14:paraId="583ECFF5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44C86E5D" w14:textId="77777777" w:rsidR="00BD58AF" w:rsidRDefault="00BD58A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D58AF" w14:paraId="54F84601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7CBCD29A" w14:textId="77777777" w:rsidR="00BD58AF" w:rsidRDefault="003633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Diagnóstico</w:t>
            </w:r>
          </w:p>
          <w:p w14:paraId="72E84DA9" w14:textId="6DBC6B05" w:rsidR="00BD58AF" w:rsidRDefault="00363343">
            <w:pPr>
              <w:spacing w:after="0" w:line="240" w:lineRule="auto"/>
              <w:jc w:val="center"/>
              <w:rPr>
                <w:color w:val="404040"/>
              </w:rPr>
            </w:pPr>
            <w:r>
              <w:rPr>
                <w:b/>
                <w:color w:val="FFFFFF"/>
              </w:rPr>
              <w:t>(Problemática</w:t>
            </w:r>
            <w:r w:rsidR="005B1BBE">
              <w:rPr>
                <w:b/>
                <w:color w:val="FFFFFF"/>
              </w:rPr>
              <w:t>(s)</w:t>
            </w:r>
            <w:r>
              <w:rPr>
                <w:b/>
                <w:color w:val="FFFFFF"/>
              </w:rPr>
              <w:t xml:space="preserve"> que se pretende</w:t>
            </w:r>
            <w:r w:rsidR="005B1BBE">
              <w:rPr>
                <w:b/>
                <w:color w:val="FFFFFF"/>
              </w:rPr>
              <w:t>(n)</w:t>
            </w:r>
            <w:r>
              <w:rPr>
                <w:b/>
                <w:color w:val="FFFFFF"/>
              </w:rPr>
              <w:t xml:space="preserve"> atender desde la perspectiva del acceso a la información pública)</w:t>
            </w:r>
          </w:p>
        </w:tc>
      </w:tr>
      <w:tr w:rsidR="00BD58AF" w14:paraId="184B1F7F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53A266B5" w14:textId="77777777" w:rsidR="00BD58AF" w:rsidRDefault="00BD58AF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BD58AF" w14:paraId="67100880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15041AA3" w14:textId="70629ABF" w:rsidR="00BD58AF" w:rsidRDefault="00363343">
            <w:pPr>
              <w:spacing w:after="160"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Estrategia(s) que se adoptará(n) para la implementación de la política pública</w:t>
            </w:r>
          </w:p>
          <w:p w14:paraId="597EAE57" w14:textId="3CED938B" w:rsidR="00BD58AF" w:rsidRDefault="00363343">
            <w:pPr>
              <w:spacing w:after="160"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a) Acciones institucionales</w:t>
            </w:r>
            <w:r w:rsidR="005B1BBE">
              <w:rPr>
                <w:b/>
                <w:color w:val="FFFFFF"/>
              </w:rPr>
              <w:t>;</w:t>
            </w:r>
            <w:r>
              <w:rPr>
                <w:b/>
                <w:color w:val="FFFFFF"/>
              </w:rPr>
              <w:t xml:space="preserve"> b) </w:t>
            </w:r>
            <w:r w:rsidR="005B1BBE">
              <w:rPr>
                <w:b/>
                <w:color w:val="FFFFFF"/>
              </w:rPr>
              <w:t>s</w:t>
            </w:r>
            <w:r>
              <w:rPr>
                <w:b/>
                <w:color w:val="FFFFFF"/>
              </w:rPr>
              <w:t>ociedad civil</w:t>
            </w:r>
            <w:r w:rsidR="00E36A70">
              <w:rPr>
                <w:b/>
                <w:color w:val="FFFFFF"/>
              </w:rPr>
              <w:t xml:space="preserve"> e iniciativa privada</w:t>
            </w:r>
            <w:r w:rsidR="005B1BBE">
              <w:rPr>
                <w:b/>
                <w:color w:val="FFFFFF"/>
              </w:rPr>
              <w:t>;</w:t>
            </w:r>
            <w:r>
              <w:rPr>
                <w:b/>
                <w:color w:val="FFFFFF"/>
              </w:rPr>
              <w:t xml:space="preserve"> c) Instituciones educativas</w:t>
            </w:r>
            <w:r w:rsidR="005B1BBE">
              <w:rPr>
                <w:b/>
                <w:color w:val="FFFFFF"/>
              </w:rPr>
              <w:t>;</w:t>
            </w:r>
          </w:p>
          <w:p w14:paraId="6BF31240" w14:textId="7240DD2C" w:rsidR="00BD58AF" w:rsidRDefault="00363343">
            <w:pPr>
              <w:spacing w:after="160" w:line="259" w:lineRule="auto"/>
              <w:jc w:val="center"/>
              <w:rPr>
                <w:color w:val="FF0000"/>
              </w:rPr>
            </w:pPr>
            <w:r>
              <w:rPr>
                <w:b/>
                <w:color w:val="FFFFFF"/>
              </w:rPr>
              <w:t xml:space="preserve">d) “Contraloría y vigilancia ciudadana” (modalidad adicional </w:t>
            </w:r>
            <w:r w:rsidR="005B1BBE">
              <w:rPr>
                <w:b/>
                <w:color w:val="FFFFFF"/>
              </w:rPr>
              <w:t>optativa</w:t>
            </w:r>
            <w:r>
              <w:rPr>
                <w:b/>
                <w:color w:val="FFFFFF"/>
              </w:rPr>
              <w:t>)</w:t>
            </w:r>
          </w:p>
        </w:tc>
      </w:tr>
      <w:tr w:rsidR="00BD58AF" w14:paraId="722B771A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6D22FC07" w14:textId="77777777" w:rsidR="00BD58AF" w:rsidRDefault="00BD58AF">
            <w:pPr>
              <w:spacing w:after="160" w:line="259" w:lineRule="auto"/>
            </w:pPr>
          </w:p>
        </w:tc>
      </w:tr>
      <w:tr w:rsidR="00BD58AF" w14:paraId="71DB84BF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08850348" w14:textId="77777777" w:rsidR="00BD58AF" w:rsidRDefault="00363343">
            <w:pPr>
              <w:spacing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FFFFFF"/>
              </w:rPr>
              <w:t>Propuesta de integración de la Red Local de Socialización (RLS)</w:t>
            </w:r>
          </w:p>
        </w:tc>
      </w:tr>
      <w:tr w:rsidR="00BD58AF" w14:paraId="79EF0784" w14:textId="77777777" w:rsidTr="005B1BBE">
        <w:trPr>
          <w:trHeight w:val="134"/>
          <w:jc w:val="center"/>
        </w:trPr>
        <w:tc>
          <w:tcPr>
            <w:tcW w:w="4247" w:type="dxa"/>
            <w:gridSpan w:val="3"/>
            <w:shd w:val="clear" w:color="auto" w:fill="000000" w:themeFill="text1"/>
            <w:vAlign w:val="center"/>
          </w:tcPr>
          <w:p w14:paraId="0D8077F2" w14:textId="77777777" w:rsidR="00BD58AF" w:rsidRPr="005B1BBE" w:rsidRDefault="00363343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B1BBE">
              <w:rPr>
                <w:b/>
                <w:color w:val="FFFFFF" w:themeColor="background1"/>
              </w:rPr>
              <w:t xml:space="preserve">Nombre completo </w:t>
            </w:r>
          </w:p>
        </w:tc>
        <w:tc>
          <w:tcPr>
            <w:tcW w:w="4248" w:type="dxa"/>
            <w:gridSpan w:val="3"/>
            <w:shd w:val="clear" w:color="auto" w:fill="000000" w:themeFill="text1"/>
            <w:vAlign w:val="center"/>
          </w:tcPr>
          <w:p w14:paraId="14862967" w14:textId="77777777" w:rsidR="00BD58AF" w:rsidRPr="005B1BBE" w:rsidRDefault="00363343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B1BBE">
              <w:rPr>
                <w:b/>
                <w:color w:val="FFFFFF" w:themeColor="background1"/>
              </w:rPr>
              <w:t>Tipo</w:t>
            </w:r>
          </w:p>
        </w:tc>
      </w:tr>
      <w:tr w:rsidR="00BD58AF" w14:paraId="234799EF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62004E82" w14:textId="77777777" w:rsidR="00BD58AF" w:rsidRDefault="00BD58A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40D0BF4C" w14:textId="0B0B9856" w:rsidR="00BD58AF" w:rsidRDefault="003633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t xml:space="preserve">Organismo </w:t>
            </w:r>
            <w:r w:rsidR="005B1BBE">
              <w:t>g</w:t>
            </w:r>
            <w:r>
              <w:t xml:space="preserve">arante </w:t>
            </w:r>
            <w:r w:rsidR="005B1BBE">
              <w:t>e</w:t>
            </w:r>
            <w:r>
              <w:t>statal</w:t>
            </w:r>
          </w:p>
        </w:tc>
      </w:tr>
      <w:tr w:rsidR="00BD58AF" w14:paraId="7FC6F434" w14:textId="77777777">
        <w:trPr>
          <w:trHeight w:val="49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0CE918B4" w14:textId="77777777" w:rsidR="00BD58AF" w:rsidRDefault="00BD58A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656571AD" w14:textId="686BFDE0" w:rsidR="00BD58AF" w:rsidRDefault="00363343">
            <w:pPr>
              <w:spacing w:line="240" w:lineRule="auto"/>
              <w:jc w:val="center"/>
            </w:pPr>
            <w:r>
              <w:t xml:space="preserve">Organización de la </w:t>
            </w:r>
            <w:r w:rsidR="005B1BBE">
              <w:t>s</w:t>
            </w:r>
            <w:r>
              <w:t xml:space="preserve">ociedad </w:t>
            </w:r>
            <w:r w:rsidR="005B1BBE">
              <w:t>c</w:t>
            </w:r>
            <w:r>
              <w:t>ivil (OSC) (indicando su objeto social)</w:t>
            </w:r>
          </w:p>
        </w:tc>
      </w:tr>
      <w:tr w:rsidR="00BD58AF" w14:paraId="7BE0D609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0E93607C" w14:textId="77777777" w:rsidR="00BD58AF" w:rsidRDefault="00BD58A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46E9369C" w14:textId="77777777" w:rsidR="00BD58AF" w:rsidRDefault="003633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t>Institución educativa</w:t>
            </w:r>
          </w:p>
        </w:tc>
      </w:tr>
      <w:tr w:rsidR="00BD58AF" w14:paraId="15DD576A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7B800F87" w14:textId="77777777" w:rsidR="00BD58AF" w:rsidRDefault="00BD58A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7AE09C69" w14:textId="77777777" w:rsidR="00BD58AF" w:rsidRDefault="003633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t>Iniciativa privada</w:t>
            </w:r>
          </w:p>
        </w:tc>
      </w:tr>
      <w:tr w:rsidR="00BD58AF" w14:paraId="6F486967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676F4D4E" w14:textId="77777777" w:rsidR="00BD58AF" w:rsidRDefault="00BD58A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33F59456" w14:textId="77777777" w:rsidR="00BD58AF" w:rsidRDefault="003633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t>Organismo de la administración pública (indicando el nivel al que pertenecen: federal, estatal o municipal)</w:t>
            </w:r>
          </w:p>
        </w:tc>
      </w:tr>
      <w:tr w:rsidR="00BD58AF" w14:paraId="7591E8AD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48007D2B" w14:textId="77777777" w:rsidR="00BD58AF" w:rsidRDefault="00BD58A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14:paraId="55CEB210" w14:textId="77777777" w:rsidR="00BD58AF" w:rsidRDefault="0036334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t>Otros</w:t>
            </w:r>
          </w:p>
        </w:tc>
      </w:tr>
      <w:tr w:rsidR="00BD58AF" w14:paraId="5E59112C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79981F05" w14:textId="77777777" w:rsidR="00BD58AF" w:rsidRDefault="00363343">
            <w:pPr>
              <w:spacing w:after="0" w:line="240" w:lineRule="auto"/>
              <w:jc w:val="center"/>
            </w:pPr>
            <w:r>
              <w:t>*Secretaría de la Función Pública</w:t>
            </w:r>
          </w:p>
        </w:tc>
        <w:tc>
          <w:tcPr>
            <w:tcW w:w="4248" w:type="dxa"/>
            <w:gridSpan w:val="3"/>
            <w:shd w:val="clear" w:color="auto" w:fill="auto"/>
          </w:tcPr>
          <w:p w14:paraId="5BEAEB7D" w14:textId="77777777" w:rsidR="00BD58AF" w:rsidRDefault="00363343">
            <w:pPr>
              <w:spacing w:after="0" w:line="240" w:lineRule="auto"/>
              <w:jc w:val="center"/>
              <w:rPr>
                <w:b/>
              </w:rPr>
            </w:pPr>
            <w:r>
              <w:t>Secretaría de Estado</w:t>
            </w:r>
          </w:p>
        </w:tc>
      </w:tr>
      <w:tr w:rsidR="00BD58AF" w14:paraId="768CEF1D" w14:textId="77777777">
        <w:trPr>
          <w:trHeight w:val="134"/>
          <w:jc w:val="center"/>
        </w:trPr>
        <w:tc>
          <w:tcPr>
            <w:tcW w:w="4247" w:type="dxa"/>
            <w:gridSpan w:val="3"/>
            <w:shd w:val="clear" w:color="auto" w:fill="auto"/>
            <w:vAlign w:val="center"/>
          </w:tcPr>
          <w:p w14:paraId="19F49B01" w14:textId="77777777" w:rsidR="00BD58AF" w:rsidRDefault="00363343">
            <w:pPr>
              <w:spacing w:after="0" w:line="240" w:lineRule="auto"/>
              <w:jc w:val="center"/>
            </w:pPr>
            <w:r>
              <w:t>Instituto Nacional de Transparencia, Acceso a la Información y protección de Datos Personales</w:t>
            </w:r>
          </w:p>
        </w:tc>
        <w:tc>
          <w:tcPr>
            <w:tcW w:w="4248" w:type="dxa"/>
            <w:gridSpan w:val="3"/>
            <w:shd w:val="clear" w:color="auto" w:fill="auto"/>
          </w:tcPr>
          <w:p w14:paraId="57EB3CEB" w14:textId="270C3C58" w:rsidR="00BD58AF" w:rsidRDefault="00363343">
            <w:pPr>
              <w:spacing w:after="0" w:line="240" w:lineRule="auto"/>
              <w:jc w:val="center"/>
            </w:pPr>
            <w:r>
              <w:t xml:space="preserve">Organismo </w:t>
            </w:r>
            <w:r w:rsidR="005B1BBE">
              <w:t>g</w:t>
            </w:r>
            <w:r>
              <w:t xml:space="preserve">arante </w:t>
            </w:r>
            <w:r w:rsidR="005B1BBE">
              <w:t>f</w:t>
            </w:r>
            <w:r>
              <w:t>ederal</w:t>
            </w:r>
          </w:p>
        </w:tc>
      </w:tr>
      <w:tr w:rsidR="00BD58AF" w14:paraId="76C5F636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17BE3362" w14:textId="77777777" w:rsidR="00BD58AF" w:rsidRDefault="0036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rFonts w:ascii="Open Sans" w:eastAsia="Open Sans" w:hAnsi="Open Sans" w:cs="Open Sans"/>
              </w:rPr>
              <w:lastRenderedPageBreak/>
              <w:t>*En caso de que la RLS haya optado por desarrollar el componente denominado “contraloría y vigilancia ciudadana”.</w:t>
            </w:r>
          </w:p>
        </w:tc>
      </w:tr>
      <w:tr w:rsidR="00BD58AF" w14:paraId="06851CDE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23837DFD" w14:textId="18D6C09A" w:rsidR="00BD58AF" w:rsidRDefault="005B1BBE">
            <w:pPr>
              <w:spacing w:after="160"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Actividades para desarrollar</w:t>
            </w:r>
          </w:p>
        </w:tc>
      </w:tr>
      <w:tr w:rsidR="00BD58AF" w14:paraId="175EBECE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3BB12ED7" w14:textId="77777777" w:rsidR="00BD58AF" w:rsidRDefault="00BD58AF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BD58AF" w14:paraId="02DCBD3A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28CAB05E" w14:textId="6AC895A5" w:rsidR="00BD58AF" w:rsidRDefault="005B1BBE">
            <w:pPr>
              <w:spacing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FFFFFF"/>
              </w:rPr>
              <w:t>Elementos por considerar</w:t>
            </w:r>
            <w:r w:rsidR="00363343">
              <w:rPr>
                <w:b/>
                <w:color w:val="FFFFFF"/>
              </w:rPr>
              <w:t xml:space="preserve"> para el reclutamiento, selección y formación de las personas facilitadoras del DAI</w:t>
            </w:r>
          </w:p>
        </w:tc>
      </w:tr>
      <w:tr w:rsidR="00BD58AF" w14:paraId="55C14641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6953FA96" w14:textId="77777777" w:rsidR="00BD58AF" w:rsidRDefault="00BD58AF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BD58AF" w14:paraId="0AD21456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72B0FC75" w14:textId="390B0BDD" w:rsidR="00BD58AF" w:rsidRDefault="005B1BB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Elementos por considerar</w:t>
            </w:r>
            <w:r w:rsidR="00363343">
              <w:rPr>
                <w:b/>
                <w:color w:val="FFFFFF"/>
              </w:rPr>
              <w:t xml:space="preserve"> para el desarrollo de las jornadas ciudadanas de socialización del DAI</w:t>
            </w:r>
          </w:p>
        </w:tc>
      </w:tr>
      <w:tr w:rsidR="00BD58AF" w14:paraId="42C11E46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3862D639" w14:textId="77777777" w:rsidR="00BD58AF" w:rsidRDefault="00BD58AF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BD58AF" w14:paraId="4AC07507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4472C4"/>
            <w:vAlign w:val="center"/>
          </w:tcPr>
          <w:p w14:paraId="05B34DE8" w14:textId="77777777" w:rsidR="00BD58AF" w:rsidRDefault="00363343">
            <w:pPr>
              <w:spacing w:after="160" w:line="259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Breve descripción de experiencia(s) anterior(es) en socialización y aprovechamiento del DAI</w:t>
            </w:r>
          </w:p>
        </w:tc>
      </w:tr>
      <w:tr w:rsidR="00BD58AF" w14:paraId="1297E2F7" w14:textId="77777777">
        <w:trPr>
          <w:trHeight w:val="134"/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54566CC7" w14:textId="77777777" w:rsidR="00BD58AF" w:rsidRDefault="00BD58AF">
            <w:pPr>
              <w:spacing w:after="0" w:line="240" w:lineRule="auto"/>
              <w:jc w:val="both"/>
              <w:rPr>
                <w:color w:val="404040"/>
              </w:rPr>
            </w:pPr>
          </w:p>
        </w:tc>
      </w:tr>
      <w:tr w:rsidR="00BD58AF" w14:paraId="37DE5F1D" w14:textId="77777777">
        <w:trPr>
          <w:jc w:val="center"/>
        </w:trPr>
        <w:tc>
          <w:tcPr>
            <w:tcW w:w="8495" w:type="dxa"/>
            <w:gridSpan w:val="6"/>
            <w:shd w:val="clear" w:color="auto" w:fill="2E75B5"/>
            <w:vAlign w:val="center"/>
          </w:tcPr>
          <w:p w14:paraId="67EADAF2" w14:textId="77777777" w:rsidR="00BD58AF" w:rsidRDefault="0036334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CRONOGRAMA (dividido por cada 12 meses)</w:t>
            </w:r>
          </w:p>
        </w:tc>
      </w:tr>
      <w:tr w:rsidR="00BD58AF" w14:paraId="68A473FE" w14:textId="77777777">
        <w:trPr>
          <w:jc w:val="center"/>
        </w:trPr>
        <w:tc>
          <w:tcPr>
            <w:tcW w:w="8495" w:type="dxa"/>
            <w:gridSpan w:val="6"/>
            <w:shd w:val="clear" w:color="auto" w:fill="auto"/>
            <w:vAlign w:val="center"/>
          </w:tcPr>
          <w:p w14:paraId="68F3B645" w14:textId="77777777" w:rsidR="00BD58AF" w:rsidRDefault="00BD58AF">
            <w:pPr>
              <w:spacing w:after="0" w:line="240" w:lineRule="auto"/>
              <w:jc w:val="center"/>
              <w:rPr>
                <w:b/>
                <w:i/>
                <w:color w:val="404040"/>
              </w:rPr>
            </w:pPr>
          </w:p>
        </w:tc>
      </w:tr>
    </w:tbl>
    <w:p w14:paraId="0802CBF1" w14:textId="77777777" w:rsidR="00BD58AF" w:rsidRDefault="00BD5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BD58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558" w:bottom="1418" w:left="184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E8069" w14:textId="77777777" w:rsidR="009C21BC" w:rsidRDefault="009C21BC">
      <w:pPr>
        <w:spacing w:after="0" w:line="240" w:lineRule="auto"/>
      </w:pPr>
      <w:r>
        <w:separator/>
      </w:r>
    </w:p>
  </w:endnote>
  <w:endnote w:type="continuationSeparator" w:id="0">
    <w:p w14:paraId="5C1E7977" w14:textId="77777777" w:rsidR="009C21BC" w:rsidRDefault="009C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823D5" w14:textId="77777777" w:rsidR="00BD58AF" w:rsidRDefault="0036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E685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E685F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D4358DB" w14:textId="77777777" w:rsidR="00BD58AF" w:rsidRDefault="00BD5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0A1F" w14:textId="77777777" w:rsidR="00BD58AF" w:rsidRDefault="0036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Página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de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6E36" w14:textId="77777777" w:rsidR="009C21BC" w:rsidRDefault="009C21BC">
      <w:pPr>
        <w:spacing w:after="0" w:line="240" w:lineRule="auto"/>
      </w:pPr>
      <w:r>
        <w:separator/>
      </w:r>
    </w:p>
  </w:footnote>
  <w:footnote w:type="continuationSeparator" w:id="0">
    <w:p w14:paraId="083FB62D" w14:textId="77777777" w:rsidR="009C21BC" w:rsidRDefault="009C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0A64" w14:textId="77777777" w:rsidR="00BD58AF" w:rsidRDefault="00363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988A9A9" wp14:editId="0AE1B5FA">
          <wp:simplePos x="0" y="0"/>
          <wp:positionH relativeFrom="column">
            <wp:posOffset>-1170304</wp:posOffset>
          </wp:positionH>
          <wp:positionV relativeFrom="paragraph">
            <wp:posOffset>18415</wp:posOffset>
          </wp:positionV>
          <wp:extent cx="7567613" cy="613590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613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3074" w14:textId="77777777" w:rsidR="00BD58AF" w:rsidRDefault="00363343">
    <w:pPr>
      <w:spacing w:before="120" w:after="120" w:line="240" w:lineRule="auto"/>
      <w:jc w:val="center"/>
      <w:rPr>
        <w:color w:val="808080"/>
      </w:rPr>
    </w:pPr>
    <w:r>
      <w:rPr>
        <w:noProof/>
        <w:color w:val="808080"/>
      </w:rPr>
      <w:drawing>
        <wp:inline distT="0" distB="0" distL="0" distR="0" wp14:anchorId="100EFBC9" wp14:editId="29DDF7D5">
          <wp:extent cx="1485900" cy="876300"/>
          <wp:effectExtent l="0" t="0" r="0" b="0"/>
          <wp:docPr id="5" name="image2.jpg" descr="logo INA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INAI"/>
                  <pic:cNvPicPr preferRelativeResize="0"/>
                </pic:nvPicPr>
                <pic:blipFill>
                  <a:blip r:embed="rId1"/>
                  <a:srcRect t="16250" b="24999"/>
                  <a:stretch>
                    <a:fillRect/>
                  </a:stretch>
                </pic:blipFill>
                <pic:spPr>
                  <a:xfrm>
                    <a:off x="0" y="0"/>
                    <a:ext cx="14859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AF"/>
    <w:rsid w:val="002E685F"/>
    <w:rsid w:val="00363343"/>
    <w:rsid w:val="005B1BBE"/>
    <w:rsid w:val="009C21BC"/>
    <w:rsid w:val="00BD58AF"/>
    <w:rsid w:val="00E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20B2"/>
  <w15:docId w15:val="{1F348B4E-8CA0-48AC-82E9-6A613344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6F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D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D436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D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D436F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BD43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C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1843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  <w:style w:type="character" w:styleId="Ttulodellibro">
    <w:name w:val="Book Title"/>
    <w:uiPriority w:val="33"/>
    <w:qFormat/>
    <w:rsid w:val="001D3062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A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AF1"/>
    <w:rPr>
      <w:rFonts w:ascii="Tahoma" w:eastAsia="Calibri" w:hAnsi="Tahoma" w:cs="Tahoma"/>
      <w:sz w:val="16"/>
      <w:szCs w:val="16"/>
      <w:lang w:val="es-ES" w:eastAsia="en-US"/>
    </w:rPr>
  </w:style>
  <w:style w:type="character" w:styleId="Refdecomentario">
    <w:name w:val="annotation reference"/>
    <w:uiPriority w:val="99"/>
    <w:semiHidden/>
    <w:unhideWhenUsed/>
    <w:rsid w:val="00EE5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2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E524C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24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524C"/>
    <w:rPr>
      <w:rFonts w:ascii="Calibri" w:eastAsia="Calibri" w:hAnsi="Calibri" w:cs="Times New Roman"/>
      <w:b/>
      <w:bCs/>
      <w:sz w:val="20"/>
      <w:szCs w:val="20"/>
      <w:lang w:val="es-ES" w:eastAsia="en-US"/>
    </w:rPr>
  </w:style>
  <w:style w:type="table" w:styleId="Tablaconcuadrcula">
    <w:name w:val="Table Grid"/>
    <w:basedOn w:val="Tablanormal"/>
    <w:uiPriority w:val="59"/>
    <w:rsid w:val="0066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E2226"/>
    <w:rPr>
      <w:lang w:eastAsia="en-US"/>
    </w:rPr>
  </w:style>
  <w:style w:type="character" w:customStyle="1" w:styleId="apple-converted-space">
    <w:name w:val="apple-converted-space"/>
    <w:rsid w:val="00422B94"/>
  </w:style>
  <w:style w:type="character" w:styleId="Textoennegrita">
    <w:name w:val="Strong"/>
    <w:uiPriority w:val="22"/>
    <w:qFormat/>
    <w:rsid w:val="00422B94"/>
    <w:rPr>
      <w:b/>
      <w:bCs/>
    </w:rPr>
  </w:style>
  <w:style w:type="character" w:styleId="Hipervnculovisitado">
    <w:name w:val="FollowedHyperlink"/>
    <w:uiPriority w:val="99"/>
    <w:semiHidden/>
    <w:unhideWhenUsed/>
    <w:rsid w:val="0032174B"/>
    <w:rPr>
      <w:color w:val="800080"/>
      <w:u w:val="single"/>
    </w:rPr>
  </w:style>
  <w:style w:type="character" w:customStyle="1" w:styleId="Mencionar1">
    <w:name w:val="Mencionar1"/>
    <w:uiPriority w:val="99"/>
    <w:semiHidden/>
    <w:unhideWhenUsed/>
    <w:rsid w:val="00F227F3"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AB3227"/>
    <w:rPr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69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694A"/>
    <w:rPr>
      <w:rFonts w:ascii="Calibri" w:eastAsia="Calibri" w:hAnsi="Calibri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8694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wKcipZVfUUV7x5XH/4OMCtlPA==">AMUW2mVcT50R9wNZUVkh9oPkFNbGPhj6LyFXLuFf41JP97IL+9fQ4X0TSZSOLnBi/cHyF1nCinUhGDCduC5nxNgsBUPM7X0VtNv/o1kiYgg1tdMHdA6EMVo=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Machuca Luna</dc:creator>
  <cp:lastModifiedBy>Diego Ernesto Díaz Iturbe</cp:lastModifiedBy>
  <cp:revision>2</cp:revision>
  <dcterms:created xsi:type="dcterms:W3CDTF">2021-05-25T19:00:00Z</dcterms:created>
  <dcterms:modified xsi:type="dcterms:W3CDTF">2021-05-25T19:00:00Z</dcterms:modified>
</cp:coreProperties>
</file>